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6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№1 к Договору</w:t>
      </w:r>
      <w:r>
        <w:rPr/>
        <w:t xml:space="preserve"> от «___»__________ 2020 г.</w:t>
      </w:r>
    </w:p>
    <w:p>
      <w:pPr>
        <w:pStyle w:val="Normal"/>
        <w:jc w:val="center"/>
        <w:rPr>
          <w:b/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Информационно-образовательный центр </w:t>
      </w:r>
    </w:p>
    <w:p>
      <w:pPr>
        <w:pStyle w:val="Normal"/>
        <w:jc w:val="center"/>
        <w:rPr>
          <w:b/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«Русский музей: Виртуальный филиал»</w:t>
      </w:r>
    </w:p>
    <w:p>
      <w:pPr>
        <w:pStyle w:val="Normal"/>
        <w:spacing w:before="60" w:after="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Состав информационно-образовательного центра «Русский музей: Виртуальный филиал»:</w:t>
      </w:r>
    </w:p>
    <w:p>
      <w:pPr>
        <w:pStyle w:val="Normal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Научно-информационное наполнение:</w:t>
      </w:r>
      <w:r>
        <w:rPr>
          <w:sz w:val="22"/>
          <w:szCs w:val="22"/>
        </w:rPr>
        <w:t xml:space="preserve"> Медиатека (мультимедийные программы и  видеофильмы об истории и коллекции Русского музея и других художественных музеев России). </w:t>
      </w:r>
    </w:p>
    <w:p>
      <w:pPr>
        <w:pStyle w:val="Normal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Информационно-образовательный класс</w:t>
      </w:r>
      <w:r>
        <w:rPr>
          <w:sz w:val="22"/>
          <w:szCs w:val="22"/>
        </w:rPr>
        <w:t xml:space="preserve"> (локальная сеть из 3 и более компьютеров с выходом в Интернет для использования ресурсов Интернет-сайта проекта, а также для самостоятельного знакомства с электронными материалами по коллекции, как Русского музея, так и других художественных музеев)  </w:t>
      </w:r>
    </w:p>
    <w:p>
      <w:pPr>
        <w:pStyle w:val="Normal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Мультимедийный кинотеатр</w:t>
      </w:r>
      <w:r>
        <w:rPr>
          <w:sz w:val="22"/>
          <w:szCs w:val="22"/>
        </w:rPr>
        <w:t xml:space="preserve"> (для демонстрации виртуальных экскурсий по дворцам Русского музея, мультимедийных программ по коллекциям Русского музея и музеев России, демонстрация видеофильмов Русского музея)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4950" w:type="pct"/>
        <w:jc w:val="left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425"/>
        <w:gridCol w:w="2913"/>
        <w:gridCol w:w="6989"/>
      </w:tblGrid>
      <w:tr>
        <w:trPr>
          <w:trHeight w:val="528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96" w:after="96"/>
              <w:jc w:val="center"/>
              <w:rPr>
                <w:b/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№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96" w:after="96"/>
              <w:jc w:val="center"/>
              <w:rPr>
                <w:b/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Наименование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96" w:after="96"/>
              <w:jc w:val="center"/>
              <w:rPr>
                <w:b/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Описание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96" w:after="96"/>
              <w:jc w:val="center"/>
              <w:rPr>
                <w:b/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</w:r>
          </w:p>
        </w:tc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96" w:after="96"/>
              <w:jc w:val="center"/>
              <w:rPr>
                <w:b/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Информационно-образовательный класс</w:t>
            </w:r>
          </w:p>
        </w:tc>
      </w:tr>
      <w:tr>
        <w:trPr>
          <w:trHeight w:val="779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96" w:after="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96" w:after="9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Локальная вычислительная сеть из 3 и более персональных компьютеров с выходом в Интернет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Intel Core i5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выше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HD - 1 Тб и более</w:t>
            </w:r>
          </w:p>
          <w:p>
            <w:pPr>
              <w:pStyle w:val="Normal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Оперативная память - 8 Гб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Видеокарта: </w:t>
            </w:r>
            <w:r>
              <w:rPr>
                <w:sz w:val="22"/>
                <w:szCs w:val="22"/>
                <w:lang w:val="en-US"/>
              </w:rPr>
              <w:t>GeForce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RTX</w:t>
            </w:r>
            <w:r>
              <w:rPr>
                <w:sz w:val="22"/>
                <w:szCs w:val="22"/>
              </w:rPr>
              <w:t>2080 (или более производительные аналоги), видеопамять - 6 Гб</w:t>
            </w:r>
          </w:p>
          <w:p>
            <w:pPr>
              <w:pStyle w:val="Normal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Монитор 21'' минимум, </w:t>
            </w:r>
            <w:r>
              <w:rPr>
                <w:sz w:val="22"/>
                <w:szCs w:val="22"/>
                <w:lang w:val="en-US"/>
              </w:rPr>
              <w:t>USB</w:t>
            </w:r>
            <w:r>
              <w:rPr>
                <w:sz w:val="22"/>
                <w:szCs w:val="22"/>
              </w:rPr>
              <w:t xml:space="preserve"> 3.0, комплект: клавиатура, мышь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Наушники для каждого персонального компьютера с регулятором громкости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бесперебойного питания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96" w:after="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96" w:after="9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Сетевое оборудование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96" w:after="9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Концентраторы, кабели, коннекторы, коммутационные розетки.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96" w:after="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96" w:after="9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Системное программное обеспечение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ru-RU"/>
              </w:rPr>
              <w:t>Л</w:t>
            </w:r>
            <w:r>
              <w:rPr>
                <w:sz w:val="22"/>
                <w:szCs w:val="22"/>
              </w:rPr>
              <w:t>ицензионные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копии</w:t>
            </w:r>
            <w:r>
              <w:rPr>
                <w:sz w:val="22"/>
                <w:szCs w:val="22"/>
                <w:lang w:val="en-US"/>
              </w:rPr>
              <w:t xml:space="preserve"> Windows 7, Windows 8, Windows 10, MS Office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96" w:after="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96" w:after="9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программное обеспечение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 xml:space="preserve">Adobe_Reader, AdobeFlash, Google </w:t>
            </w:r>
            <w:r>
              <w:rPr>
                <w:sz w:val="22"/>
                <w:szCs w:val="22"/>
                <w:lang w:eastAsia="ru-RU"/>
              </w:rPr>
              <w:t>С</w:t>
            </w:r>
            <w:r>
              <w:rPr>
                <w:sz w:val="22"/>
                <w:szCs w:val="22"/>
                <w:lang w:val="en-US" w:eastAsia="ru-RU"/>
              </w:rPr>
              <w:t xml:space="preserve">hrome, QuickTime, WinRAR </w:t>
            </w:r>
          </w:p>
        </w:tc>
      </w:tr>
      <w:tr>
        <w:trPr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96" w:after="96"/>
              <w:rPr>
                <w:b/>
                <w:b/>
                <w:bCs/>
                <w:caps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caps/>
                <w:sz w:val="22"/>
                <w:szCs w:val="22"/>
                <w:lang w:val="en-US" w:eastAsia="ru-RU"/>
              </w:rPr>
            </w:r>
          </w:p>
        </w:tc>
        <w:tc>
          <w:tcPr>
            <w:tcW w:w="9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eading6"/>
              <w:spacing w:before="96" w:after="96"/>
              <w:jc w:val="center"/>
              <w:rPr>
                <w:caps/>
              </w:rPr>
            </w:pPr>
            <w:r>
              <w:rPr>
                <w:caps/>
              </w:rPr>
              <w:t>Мультимедийный кинотеатр</w:t>
            </w:r>
          </w:p>
        </w:tc>
      </w:tr>
      <w:tr>
        <w:trPr>
          <w:trHeight w:val="567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96" w:after="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96" w:after="9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Проектор и система для крепления проектора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96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проектора зависит от размера зала мультимедийного кинотеатра и освещенности этого зала (возможно, необходимо предусмотреть плотное затемнение на окнах).</w:t>
            </w:r>
          </w:p>
          <w:p>
            <w:pPr>
              <w:pStyle w:val="Normal"/>
              <w:spacing w:before="0" w:after="9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Минимальные требования к проектору: Световой поток </w:t>
            </w:r>
            <w:r>
              <w:rPr>
                <w:b/>
                <w:bCs/>
                <w:sz w:val="22"/>
                <w:szCs w:val="22"/>
              </w:rPr>
              <w:t>4000 ANSI лм</w:t>
            </w:r>
            <w:r>
              <w:rPr>
                <w:sz w:val="22"/>
                <w:szCs w:val="22"/>
              </w:rPr>
              <w:t>, поддержка разрешения минимум 1280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1024 пикселей.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96" w:after="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96" w:after="9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 прямой проекции*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96" w:after="9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экрана и его тип </w:t>
            </w:r>
            <w:r>
              <w:rPr/>
              <w:t>(</w:t>
            </w:r>
            <w:r>
              <w:rPr>
                <w:sz w:val="22"/>
                <w:szCs w:val="22"/>
              </w:rPr>
              <w:t>стационарный или с электроприводом</w:t>
            </w:r>
            <w:r>
              <w:rPr/>
              <w:t>)</w:t>
            </w:r>
            <w:r>
              <w:rPr>
                <w:sz w:val="22"/>
                <w:szCs w:val="22"/>
              </w:rPr>
              <w:t xml:space="preserve"> зависят от размера и особенностей зала мультимедийного кинотеатра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96" w:after="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96" w:after="9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Аппаратное обеспечение для мультимедийного кинотеатра.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Intel Core i5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выше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HD - 1 Тб и более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Оперативная память - 8 Гб</w:t>
            </w:r>
          </w:p>
          <w:p>
            <w:pPr>
              <w:pStyle w:val="Normal"/>
              <w:jc w:val="left"/>
              <w:rPr/>
            </w:pPr>
            <w:r>
              <w:rPr>
                <w:sz w:val="22"/>
                <w:szCs w:val="22"/>
              </w:rPr>
              <w:t xml:space="preserve">Видеокарта: </w:t>
            </w:r>
            <w:r>
              <w:rPr>
                <w:sz w:val="22"/>
                <w:szCs w:val="22"/>
                <w:lang w:val="en-US"/>
              </w:rPr>
              <w:t>GeForce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RTX</w:t>
            </w:r>
            <w:r>
              <w:rPr>
                <w:sz w:val="22"/>
                <w:szCs w:val="22"/>
              </w:rPr>
              <w:t>2080 (или более производительные аналоги), видеопамять - 6 Гб</w:t>
            </w:r>
          </w:p>
          <w:p>
            <w:pPr>
              <w:pStyle w:val="Normal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Монитор 21'' минимум, </w:t>
            </w:r>
            <w:r>
              <w:rPr>
                <w:sz w:val="22"/>
                <w:szCs w:val="22"/>
                <w:lang w:val="en-US"/>
              </w:rPr>
              <w:t>USB</w:t>
            </w:r>
            <w:r>
              <w:rPr>
                <w:sz w:val="22"/>
                <w:szCs w:val="22"/>
              </w:rPr>
              <w:t xml:space="preserve"> 3.0, комплект: клавиатура, мышь</w:t>
            </w:r>
          </w:p>
          <w:p>
            <w:pPr>
              <w:pStyle w:val="Header"/>
              <w:tabs>
                <w:tab w:val="clear" w:pos="4677"/>
                <w:tab w:val="clear" w:pos="9355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бесперебойного питания</w:t>
            </w:r>
          </w:p>
          <w:p>
            <w:pPr>
              <w:pStyle w:val="Header"/>
              <w:tabs>
                <w:tab w:val="clear" w:pos="4677"/>
                <w:tab w:val="clear" w:pos="9355"/>
              </w:tabs>
              <w:jc w:val="left"/>
              <w:rPr/>
            </w:pPr>
            <w:r>
              <w:rPr>
                <w:sz w:val="22"/>
                <w:szCs w:val="22"/>
              </w:rPr>
              <w:t>Аудиосистема (колонки, микрофон, усилитель, микшер), источник бесперебойного питания.</w:t>
            </w:r>
          </w:p>
          <w:p>
            <w:pPr>
              <w:pStyle w:val="Header"/>
              <w:tabs>
                <w:tab w:val="clear" w:pos="4677"/>
                <w:tab w:val="clear" w:pos="9355"/>
              </w:tabs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ru-RU"/>
              </w:rPr>
              <w:t>Л</w:t>
            </w:r>
            <w:r>
              <w:rPr>
                <w:sz w:val="22"/>
                <w:szCs w:val="22"/>
              </w:rPr>
              <w:t>ицензионные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копии</w:t>
            </w:r>
            <w:r>
              <w:rPr>
                <w:sz w:val="22"/>
                <w:szCs w:val="22"/>
                <w:lang w:val="en-US"/>
              </w:rPr>
              <w:t xml:space="preserve"> Windows 7, Windows 8, Windows 10, MS Office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96" w:after="96"/>
              <w:jc w:val="center"/>
              <w:rPr/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96" w:after="96"/>
              <w:jc w:val="left"/>
              <w:rPr/>
            </w:pPr>
            <w:r>
              <w:rPr>
                <w:sz w:val="22"/>
                <w:szCs w:val="22"/>
              </w:rPr>
              <w:t>Дополнительное программное обеспечение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sz w:val="22"/>
                <w:szCs w:val="22"/>
                <w:lang w:val="en-US" w:eastAsia="ru-RU"/>
              </w:rPr>
              <w:t xml:space="preserve">Adobe_Reader, AdobeFlash, Google </w:t>
            </w:r>
            <w:r>
              <w:rPr>
                <w:sz w:val="22"/>
                <w:szCs w:val="22"/>
                <w:lang w:eastAsia="ru-RU"/>
              </w:rPr>
              <w:t>С</w:t>
            </w:r>
            <w:r>
              <w:rPr>
                <w:sz w:val="22"/>
                <w:szCs w:val="22"/>
                <w:lang w:val="en-US" w:eastAsia="ru-RU"/>
              </w:rPr>
              <w:t xml:space="preserve">hrome, QuickTime, WinRAR </w:t>
            </w:r>
          </w:p>
        </w:tc>
      </w:tr>
    </w:tbl>
    <w:p>
      <w:pPr>
        <w:pStyle w:val="2"/>
        <w:ind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2"/>
        <w:spacing w:before="0" w:after="60"/>
        <w:ind w:hanging="0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Необходимый персонал: </w:t>
      </w:r>
      <w:r>
        <w:rPr>
          <w:bCs/>
          <w:sz w:val="22"/>
          <w:szCs w:val="22"/>
          <w:lang w:val="ru-RU"/>
        </w:rPr>
        <w:t>методист центра,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оператор мультимедийного кинотеатра, технический специалист.</w:t>
      </w:r>
    </w:p>
    <w:p>
      <w:pPr>
        <w:pStyle w:val="2"/>
        <w:ind w:hanging="0"/>
        <w:rPr/>
      </w:pPr>
      <w:r>
        <w:rPr>
          <w:b/>
          <w:sz w:val="22"/>
          <w:szCs w:val="22"/>
          <w:lang w:val="ru-RU"/>
        </w:rPr>
        <w:t>Оборудование</w:t>
      </w:r>
      <w:r>
        <w:rPr>
          <w:sz w:val="22"/>
          <w:szCs w:val="22"/>
          <w:lang w:val="ru-RU"/>
        </w:rPr>
        <w:t xml:space="preserve"> в помещениях будущего виртуального филиала должно быть смонтировано, подключено и готово к использованию с учетом установленного программного обеспечения.</w:t>
      </w:r>
    </w:p>
    <w:p>
      <w:pPr>
        <w:pStyle w:val="2"/>
        <w:ind w:hanging="0"/>
        <w:rPr/>
      </w:pPr>
      <w:r>
        <w:rPr>
          <w:sz w:val="22"/>
          <w:szCs w:val="22"/>
          <w:lang w:val="ru-RU"/>
        </w:rPr>
        <w:t>*Вместо экрана можно использовать плоскость стены, покрашенной специальной проекционной краской.</w:t>
      </w:r>
    </w:p>
    <w:sectPr>
      <w:type w:val="nextPage"/>
      <w:pgSz w:w="11906" w:h="16838"/>
      <w:pgMar w:left="737" w:right="737" w:header="0" w:top="340" w:footer="0" w:bottom="34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left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left"/>
      <w:outlineLvl w:val="2"/>
    </w:pPr>
    <w:rPr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left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jc w:val="left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jc w:val="right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Times New Roman" w:hAnsi="Times New Roman" w:cs="Times New Roman"/>
      <w:sz w:val="22"/>
      <w:szCs w:val="22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Style6">
    <w:name w:val="Основной шрифт абзаца"/>
    <w:qFormat/>
    <w:rPr/>
  </w:style>
  <w:style w:type="character" w:styleId="StrongEmphasis">
    <w:name w:val="Strong Emphasis"/>
    <w:basedOn w:val="Style6"/>
    <w:qFormat/>
    <w:rPr>
      <w:b/>
      <w:bCs/>
      <w:lang w:val="ru-RU"/>
    </w:rPr>
  </w:style>
  <w:style w:type="character" w:styleId="PageNumber">
    <w:name w:val="Page Number"/>
    <w:basedOn w:val="Style6"/>
    <w:rPr/>
  </w:style>
  <w:style w:type="character" w:styleId="FootnoteCharacters">
    <w:name w:val="Footnote Characters"/>
    <w:basedOn w:val="Style6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/>
    <w:rPr>
      <w:sz w:val="22"/>
      <w:szCs w:val="22"/>
    </w:rPr>
  </w:style>
  <w:style w:type="paragraph" w:styleId="2">
    <w:name w:val="Основной текст с отступом 2"/>
    <w:basedOn w:val="Normal"/>
    <w:qFormat/>
    <w:pPr>
      <w:ind w:firstLine="567"/>
    </w:pPr>
    <w:rPr>
      <w:sz w:val="18"/>
      <w:szCs w:val="18"/>
      <w:lang w:val="en-US"/>
    </w:rPr>
  </w:style>
  <w:style w:type="paragraph" w:styleId="Contents1">
    <w:name w:val="TOC 1"/>
    <w:basedOn w:val="Normal"/>
    <w:next w:val="Normal"/>
    <w:pPr>
      <w:autoSpaceDE w:val="false"/>
      <w:jc w:val="left"/>
    </w:pPr>
    <w:rPr>
      <w:sz w:val="24"/>
      <w:szCs w:val="24"/>
    </w:rPr>
  </w:style>
  <w:style w:type="paragraph" w:styleId="Header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2020-09-30T11:05:00Z</dcterms:created>
  <dc:creator>NET_02</dc:creator>
  <dc:description/>
  <cp:keywords/>
  <dc:language>en-US</dc:language>
  <cp:lastModifiedBy>Tatiana</cp:lastModifiedBy>
  <cp:lastPrinted>2012-05-17T17:54:00Z</cp:lastPrinted>
  <dcterms:modified xsi:type="dcterms:W3CDTF">2020-09-30T15:43:00Z</dcterms:modified>
  <cp:revision>10</cp:revision>
  <dc:subject/>
  <dc:title>«Русский музей и его информационные ресурсы»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-969513479</vt:i4>
  </property>
  <property fmtid="{D5CDD505-2E9C-101B-9397-08002B2CF9AE}" pid="3" name="_AuthorEmail">
    <vt:lpwstr>fokin_s@rusmuseum.ru</vt:lpwstr>
  </property>
  <property fmtid="{D5CDD505-2E9C-101B-9397-08002B2CF9AE}" pid="4" name="_AuthorEmailDisplayName">
    <vt:lpwstr>Fokin Sergey</vt:lpwstr>
  </property>
  <property fmtid="{D5CDD505-2E9C-101B-9397-08002B2CF9AE}" pid="5" name="_EmailSubject">
    <vt:lpwstr>Виртуальный филиал</vt:lpwstr>
  </property>
  <property fmtid="{D5CDD505-2E9C-101B-9397-08002B2CF9AE}" pid="6" name="_ReviewingToolsShownOnce">
    <vt:lpwstr/>
  </property>
</Properties>
</file>